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45CE91A3" w:rsidR="00113C5A" w:rsidRPr="00455A3C" w:rsidRDefault="00113C5A" w:rsidP="00AC35C4">
      <w:pPr>
        <w:pStyle w:val="F2-zkladn"/>
        <w:rPr>
          <w:b/>
          <w:sz w:val="28"/>
          <w:szCs w:val="28"/>
        </w:rPr>
      </w:pPr>
    </w:p>
    <w:p w14:paraId="3DFA4004" w14:textId="0AE700F5" w:rsidR="00B123FF" w:rsidRPr="00455A3C" w:rsidRDefault="00B123FF" w:rsidP="00AC35C4">
      <w:pPr>
        <w:pStyle w:val="F2-zkladn"/>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D6C1418">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238831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773025E9" w:rsidR="000A2833" w:rsidRPr="00455A3C" w:rsidRDefault="0018797C" w:rsidP="00AC35C4">
      <w:pPr>
        <w:pStyle w:val="F2-zkladn"/>
        <w:tabs>
          <w:tab w:val="right" w:pos="9070"/>
        </w:tabs>
      </w:pPr>
      <w:r>
        <w:rPr>
          <w:noProof/>
        </w:rPr>
        <mc:AlternateContent>
          <mc:Choice Requires="wps">
            <w:drawing>
              <wp:inline distT="0" distB="0" distL="0" distR="0" wp14:anchorId="69E119FC" wp14:editId="30D57B6D">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C5EE2D5"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9C2915">
        <w:t>14</w:t>
      </w:r>
      <w:r w:rsidR="00A30105" w:rsidRPr="00455A3C">
        <w:t xml:space="preserve">. </w:t>
      </w:r>
      <w:r w:rsidR="0077277F">
        <w:t>září</w:t>
      </w:r>
      <w:r w:rsidR="00A30105" w:rsidRPr="00455A3C">
        <w:t xml:space="preserve"> 20</w:t>
      </w:r>
      <w:r w:rsidR="00A7414F" w:rsidRPr="00455A3C">
        <w:t>2</w:t>
      </w:r>
      <w:r w:rsidR="00534D3B">
        <w:t>2</w:t>
      </w:r>
    </w:p>
    <w:p w14:paraId="06416E19" w14:textId="308B8739" w:rsidR="000C727D" w:rsidRDefault="000C727D" w:rsidP="00303102">
      <w:pPr>
        <w:spacing w:after="120"/>
        <w:rPr>
          <w:b/>
          <w:sz w:val="28"/>
          <w:szCs w:val="28"/>
        </w:rPr>
      </w:pPr>
    </w:p>
    <w:p w14:paraId="563CBE10" w14:textId="2BB051A1" w:rsidR="00303102" w:rsidRDefault="0057123D" w:rsidP="00611687">
      <w:pPr>
        <w:spacing w:after="120"/>
        <w:rPr>
          <w:b/>
          <w:sz w:val="28"/>
          <w:szCs w:val="28"/>
        </w:rPr>
      </w:pPr>
      <w:proofErr w:type="spellStart"/>
      <w:r>
        <w:rPr>
          <w:b/>
          <w:sz w:val="28"/>
          <w:szCs w:val="28"/>
        </w:rPr>
        <w:t>Fidelity</w:t>
      </w:r>
      <w:proofErr w:type="spellEnd"/>
      <w:r>
        <w:rPr>
          <w:b/>
          <w:sz w:val="28"/>
          <w:szCs w:val="28"/>
        </w:rPr>
        <w:t xml:space="preserve"> International:</w:t>
      </w:r>
      <w:r w:rsidR="009C2915">
        <w:rPr>
          <w:b/>
          <w:sz w:val="28"/>
          <w:szCs w:val="28"/>
        </w:rPr>
        <w:t xml:space="preserve"> Obnovit důvěru trhu v jednotnou měnu nebude po propadu parity eura s dolarem v eurozóně snadné</w:t>
      </w:r>
    </w:p>
    <w:p w14:paraId="40F88F3B" w14:textId="14897AE6" w:rsidR="0098182C" w:rsidRDefault="009C2915" w:rsidP="0098182C">
      <w:pPr>
        <w:shd w:val="clear" w:color="auto" w:fill="FFFFFF"/>
        <w:spacing w:before="100" w:beforeAutospacing="1" w:after="100" w:afterAutospacing="1" w:line="240"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Na celém světě panují těžké chvíle, avšak pozornost je věnována úředníkům z Evropské centrální banky, kteří čelí jménem spotřebitelů v eurozóně téměř neřešitelnému dilematu.</w:t>
      </w:r>
    </w:p>
    <w:p w14:paraId="793C7B3B" w14:textId="0A3174D8" w:rsidR="00C24D43" w:rsidRPr="00C24D43" w:rsidRDefault="00C24D43" w:rsidP="00C24D43">
      <w:pPr>
        <w:pStyle w:val="F2-zkladn"/>
        <w:rPr>
          <w:rFonts w:eastAsiaTheme="minorHAnsi"/>
          <w:lang w:eastAsia="en-US"/>
        </w:rPr>
      </w:pPr>
      <w:r w:rsidRPr="00C24D43">
        <w:rPr>
          <w:rFonts w:asciiTheme="minorHAnsi" w:eastAsiaTheme="minorHAnsi" w:hAnsiTheme="minorHAnsi" w:cstheme="minorBidi"/>
          <w:b/>
          <w:sz w:val="24"/>
          <w:szCs w:val="24"/>
          <w:lang w:eastAsia="en-US"/>
        </w:rPr>
        <w:t>Graf</w:t>
      </w:r>
      <w:r>
        <w:rPr>
          <w:rFonts w:asciiTheme="minorHAnsi" w:eastAsiaTheme="minorHAnsi" w:hAnsiTheme="minorHAnsi" w:cstheme="minorBidi"/>
          <w:b/>
          <w:sz w:val="24"/>
          <w:szCs w:val="24"/>
          <w:lang w:eastAsia="en-US"/>
        </w:rPr>
        <w:t>: Úrokové sazby tentokrát problémy s eurem nevyřeší</w:t>
      </w:r>
    </w:p>
    <w:p w14:paraId="0B883BC8" w14:textId="7C6046CF" w:rsidR="00C24D43" w:rsidRDefault="00C24D43" w:rsidP="00D777C4">
      <w:pPr>
        <w:spacing w:after="210" w:line="276" w:lineRule="auto"/>
        <w:rPr>
          <w:color w:val="000000" w:themeColor="text1"/>
        </w:rPr>
      </w:pPr>
      <w:r w:rsidRPr="00C24D43">
        <w:rPr>
          <w:noProof/>
          <w:color w:val="000000" w:themeColor="text1"/>
        </w:rPr>
        <w:drawing>
          <wp:inline distT="0" distB="0" distL="0" distR="0" wp14:anchorId="6E598DE5" wp14:editId="6100F267">
            <wp:extent cx="5759450" cy="320230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3202305"/>
                    </a:xfrm>
                    <a:prstGeom prst="rect">
                      <a:avLst/>
                    </a:prstGeom>
                  </pic:spPr>
                </pic:pic>
              </a:graphicData>
            </a:graphic>
          </wp:inline>
        </w:drawing>
      </w:r>
    </w:p>
    <w:p w14:paraId="2DB19AC4" w14:textId="77777777" w:rsidR="00E5420C" w:rsidRDefault="00E5420C" w:rsidP="00E5420C">
      <w:pPr>
        <w:spacing w:after="210" w:line="276" w:lineRule="auto"/>
        <w:rPr>
          <w:color w:val="000000" w:themeColor="text1"/>
        </w:rPr>
      </w:pPr>
      <w:r>
        <w:rPr>
          <w:color w:val="000000" w:themeColor="text1"/>
        </w:rPr>
        <w:t xml:space="preserve">Graf výše ukazuje, že euro kleslo na nejnižší úroveň od počátků společné měny pod paritu s dolarem, </w:t>
      </w:r>
      <w:r w:rsidRPr="00E5420C">
        <w:rPr>
          <w:color w:val="000000" w:themeColor="text1"/>
        </w:rPr>
        <w:t>a zároveň zdůrazňuje, že zvýšení tržních úrokových sazeb zatím nijak nepřispělo k zastavení tohoto propadu. Poklesy měny samozřejmě jen prohlubují problémy eurozóny s inflací a pro některé na trhu jsou důvodem k tomu, aby banka agresivně přistoupila k dalšímu zvyšování sazeb.</w:t>
      </w:r>
    </w:p>
    <w:p w14:paraId="6965C447" w14:textId="44B8249C" w:rsidR="00E5420C" w:rsidRDefault="00E5420C" w:rsidP="00E5420C">
      <w:pPr>
        <w:spacing w:after="210" w:line="276" w:lineRule="auto"/>
        <w:rPr>
          <w:color w:val="000000" w:themeColor="text1"/>
        </w:rPr>
      </w:pPr>
      <w:r w:rsidRPr="00E5420C">
        <w:rPr>
          <w:color w:val="000000" w:themeColor="text1"/>
        </w:rPr>
        <w:t xml:space="preserve">Přesto, jak ukazuje i sazba </w:t>
      </w:r>
      <w:proofErr w:type="spellStart"/>
      <w:r w:rsidRPr="00E5420C">
        <w:rPr>
          <w:color w:val="000000" w:themeColor="text1"/>
        </w:rPr>
        <w:t>Euribor</w:t>
      </w:r>
      <w:proofErr w:type="spellEnd"/>
      <w:r w:rsidRPr="00E5420C">
        <w:rPr>
          <w:color w:val="000000" w:themeColor="text1"/>
        </w:rPr>
        <w:t xml:space="preserve"> v grafu, očekávání dalšího zpřísňování je nyní silně promítnuto v cenách – a měna stále není silnější. </w:t>
      </w:r>
      <w:r w:rsidRPr="00E5420C">
        <w:rPr>
          <w:i/>
          <w:iCs/>
          <w:color w:val="000000" w:themeColor="text1"/>
        </w:rPr>
        <w:t xml:space="preserve">„Pro mě jako investora do dluhopisů, který sleduje měnové trhy z vedlejší linie, je rizikem spíše to, že čím víc bude ECB zpřísňovat, tím hlouběji se eurozóna propadne do recese, a tím víc to oslabí euro a </w:t>
      </w:r>
      <w:proofErr w:type="gramStart"/>
      <w:r w:rsidRPr="00E5420C">
        <w:rPr>
          <w:i/>
          <w:iCs/>
          <w:color w:val="000000" w:themeColor="text1"/>
        </w:rPr>
        <w:t>zhorší</w:t>
      </w:r>
      <w:proofErr w:type="gramEnd"/>
      <w:r w:rsidRPr="00E5420C">
        <w:rPr>
          <w:i/>
          <w:iCs/>
          <w:color w:val="000000" w:themeColor="text1"/>
        </w:rPr>
        <w:t xml:space="preserve"> pozici těch, co nakupují v dolarech,“</w:t>
      </w:r>
      <w:r w:rsidRPr="00E5420C">
        <w:rPr>
          <w:color w:val="000000" w:themeColor="text1"/>
        </w:rPr>
        <w:t xml:space="preserve"> vysvětluje </w:t>
      </w:r>
      <w:proofErr w:type="spellStart"/>
      <w:r w:rsidRPr="00E5420C">
        <w:rPr>
          <w:color w:val="000000" w:themeColor="text1"/>
        </w:rPr>
        <w:t>Ario</w:t>
      </w:r>
      <w:proofErr w:type="spellEnd"/>
      <w:r w:rsidRPr="00E5420C">
        <w:rPr>
          <w:color w:val="000000" w:themeColor="text1"/>
        </w:rPr>
        <w:t xml:space="preserve"> Emami </w:t>
      </w:r>
      <w:proofErr w:type="spellStart"/>
      <w:r w:rsidRPr="00E5420C">
        <w:rPr>
          <w:color w:val="000000" w:themeColor="text1"/>
        </w:rPr>
        <w:t>Nejad</w:t>
      </w:r>
      <w:proofErr w:type="spellEnd"/>
      <w:r w:rsidRPr="00E5420C">
        <w:rPr>
          <w:color w:val="000000" w:themeColor="text1"/>
        </w:rPr>
        <w:t xml:space="preserve">, portfolio manager </w:t>
      </w:r>
      <w:proofErr w:type="spellStart"/>
      <w:r w:rsidRPr="00E5420C">
        <w:rPr>
          <w:color w:val="000000" w:themeColor="text1"/>
        </w:rPr>
        <w:t>Fidelity</w:t>
      </w:r>
      <w:proofErr w:type="spellEnd"/>
      <w:r w:rsidRPr="00E5420C">
        <w:rPr>
          <w:color w:val="000000" w:themeColor="text1"/>
        </w:rPr>
        <w:t xml:space="preserve"> International. </w:t>
      </w:r>
    </w:p>
    <w:p w14:paraId="254ED276" w14:textId="77777777" w:rsidR="00D61AA5" w:rsidRDefault="00E5420C" w:rsidP="00D61AA5">
      <w:pPr>
        <w:spacing w:after="210" w:line="276" w:lineRule="auto"/>
        <w:rPr>
          <w:color w:val="000000" w:themeColor="text1"/>
        </w:rPr>
      </w:pPr>
      <w:r w:rsidRPr="00E5420C">
        <w:rPr>
          <w:color w:val="000000" w:themeColor="text1"/>
        </w:rPr>
        <w:t xml:space="preserve">V minulosti mohly být řešením tohoto začarovaného kruhu německé exportní zisky, které vyplývaly ze slabšího eura, ale vzhledem k dynamice plynu a elektrické energie, která je ve hře, je tentokrát slabší </w:t>
      </w:r>
      <w:r w:rsidRPr="00E5420C">
        <w:rPr>
          <w:color w:val="000000" w:themeColor="text1"/>
        </w:rPr>
        <w:lastRenderedPageBreak/>
        <w:t xml:space="preserve">kurz pro Berlín stejně bolestivý. Jak se často stává, i tentokrát může dojít na centralizovaná opatření, která budou podpořena nebo financována solventnějšími vládami eurozóny. </w:t>
      </w:r>
    </w:p>
    <w:p w14:paraId="5457C996" w14:textId="77777777" w:rsidR="00D61AA5" w:rsidRDefault="00D61AA5" w:rsidP="00D61AA5">
      <w:pPr>
        <w:spacing w:after="210" w:line="276" w:lineRule="auto"/>
        <w:rPr>
          <w:color w:val="000000" w:themeColor="text1"/>
        </w:rPr>
      </w:pPr>
      <w:r w:rsidRPr="00D61AA5">
        <w:rPr>
          <w:color w:val="000000" w:themeColor="text1"/>
        </w:rPr>
        <w:t xml:space="preserve">ECB se v minulosti tváří v tvář prudkému růstu nabídkové inflace držela na uzdě. Je jasné, že chce po deseti letech pohotovosti vytáhnout úrokové sazby ze záporného teritoria, ale jakmile to udělá, čelí situaci, která se jí skutečně vymyká z rukou. Vlastní zvyšování sazeb ze strany </w:t>
      </w:r>
      <w:proofErr w:type="spellStart"/>
      <w:r w:rsidRPr="00D61AA5">
        <w:rPr>
          <w:color w:val="000000" w:themeColor="text1"/>
        </w:rPr>
        <w:t>Fedu</w:t>
      </w:r>
      <w:proofErr w:type="spellEnd"/>
      <w:r w:rsidRPr="00D61AA5">
        <w:rPr>
          <w:color w:val="000000" w:themeColor="text1"/>
        </w:rPr>
        <w:t xml:space="preserve"> neutralizuje jakýkoli dopad na euro. </w:t>
      </w:r>
    </w:p>
    <w:p w14:paraId="5C9AB12E" w14:textId="410E1566" w:rsidR="00D61AA5" w:rsidRPr="00D61AA5" w:rsidRDefault="00D61AA5" w:rsidP="00D61AA5">
      <w:pPr>
        <w:spacing w:after="210" w:line="276" w:lineRule="auto"/>
        <w:rPr>
          <w:color w:val="000000" w:themeColor="text1"/>
        </w:rPr>
      </w:pPr>
      <w:r w:rsidRPr="00D61AA5">
        <w:rPr>
          <w:color w:val="000000" w:themeColor="text1"/>
        </w:rPr>
        <w:t xml:space="preserve">Velký výpadek inflačních čísel v USA by mohl tento odhad poněkud změnit a podnítit trh, aby začal počítat s koncem zpřísňování sazeb v USA. Evropští politici však možná budou v příštích dnech sledovat první dopady kroků nové britské premiérky Liz </w:t>
      </w:r>
      <w:proofErr w:type="spellStart"/>
      <w:r w:rsidRPr="00D61AA5">
        <w:rPr>
          <w:color w:val="000000" w:themeColor="text1"/>
        </w:rPr>
        <w:t>Trussové</w:t>
      </w:r>
      <w:proofErr w:type="spellEnd"/>
      <w:r w:rsidRPr="00D61AA5">
        <w:rPr>
          <w:color w:val="000000" w:themeColor="text1"/>
        </w:rPr>
        <w:t xml:space="preserve">. Její plán na omezení cen energií byl vyčíslen na více než 100 miliard liber a podobné kroky mohou být pro silněji zadlužené vlády eurozóny nedostupné. Řešení problému s plynem se však nyní zdá být pro záchranu ekonomiky a zastavení pádu eura zásadnější než jakékoli zvýšení sazeb. </w:t>
      </w:r>
    </w:p>
    <w:p w14:paraId="277BA5CD" w14:textId="26B1B5EB" w:rsidR="00725052" w:rsidRPr="00BC4EF0" w:rsidRDefault="00725052" w:rsidP="00725052">
      <w:pPr>
        <w:spacing w:line="240" w:lineRule="auto"/>
      </w:pPr>
      <w:r w:rsidRPr="00455A3C">
        <w:rPr>
          <w:b/>
        </w:rPr>
        <w:t>Pro více informací kontaktujte:</w:t>
      </w:r>
    </w:p>
    <w:p w14:paraId="4D946650" w14:textId="6C61F750" w:rsidR="00725052" w:rsidRPr="00455A3C" w:rsidRDefault="00725052" w:rsidP="00725052">
      <w:pPr>
        <w:spacing w:before="0" w:line="360" w:lineRule="auto"/>
        <w:rPr>
          <w:b/>
        </w:rPr>
      </w:pPr>
    </w:p>
    <w:p w14:paraId="5125F7C8" w14:textId="0F8FEDFE" w:rsidR="00725052" w:rsidRDefault="00725052" w:rsidP="00725052">
      <w:pPr>
        <w:spacing w:before="0" w:line="240" w:lineRule="atLeast"/>
        <w:rPr>
          <w:b/>
        </w:rPr>
      </w:pPr>
      <w:r>
        <w:rPr>
          <w:b/>
        </w:rPr>
        <w:t>Eliška Krohová</w:t>
      </w:r>
    </w:p>
    <w:p w14:paraId="389FA300" w14:textId="56A26D7E" w:rsidR="00725052" w:rsidRPr="00455A3C" w:rsidRDefault="00725052" w:rsidP="00725052">
      <w:pPr>
        <w:spacing w:before="0" w:line="240" w:lineRule="atLeast"/>
        <w:rPr>
          <w:b/>
          <w:bCs/>
        </w:rPr>
      </w:pPr>
      <w:r w:rsidRPr="00455A3C">
        <w:rPr>
          <w:b/>
          <w:bCs/>
        </w:rPr>
        <w:t>Crest Communications, a.s.</w:t>
      </w:r>
    </w:p>
    <w:p w14:paraId="5F3D0DB1" w14:textId="56706B32" w:rsidR="00725052" w:rsidRPr="00455A3C" w:rsidRDefault="00725052" w:rsidP="00725052">
      <w:pPr>
        <w:spacing w:before="0" w:line="240" w:lineRule="atLeast"/>
      </w:pPr>
    </w:p>
    <w:p w14:paraId="44431F36" w14:textId="08FB99FB" w:rsidR="00725052" w:rsidRPr="00455A3C" w:rsidRDefault="00725052" w:rsidP="00725052">
      <w:pPr>
        <w:spacing w:before="0" w:line="240" w:lineRule="atLeast"/>
      </w:pPr>
      <w:r w:rsidRPr="00455A3C">
        <w:t>Ostrovní 126/30</w:t>
      </w:r>
    </w:p>
    <w:p w14:paraId="5E112146" w14:textId="2585BA1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r>
        <w:t>gsm: + 420 720 406 659</w:t>
      </w:r>
    </w:p>
    <w:p w14:paraId="0AF239BB" w14:textId="77777777" w:rsidR="00725052" w:rsidRPr="00455A3C" w:rsidRDefault="00000000" w:rsidP="00725052">
      <w:pPr>
        <w:spacing w:before="0" w:line="240" w:lineRule="atLeast"/>
      </w:pPr>
      <w:r>
        <w:fldChar w:fldCharType="begin"/>
      </w:r>
      <w:r>
        <w:instrText xml:space="preserve"> HYPERLINK \o "blocked::http://www.crestcom.cz http://www.crestcom.cz/" </w:instrText>
      </w:r>
      <w:r>
        <w:fldChar w:fldCharType="separate"/>
      </w:r>
      <w:r w:rsidR="00424771">
        <w:rPr>
          <w:b/>
          <w:bCs/>
        </w:rPr>
        <w:t>Chyba! Odkaz není platný.</w:t>
      </w:r>
      <w:r>
        <w:rPr>
          <w:b/>
          <w:bCs/>
        </w:rPr>
        <w:fldChar w:fldCharType="end"/>
      </w:r>
    </w:p>
    <w:p w14:paraId="608210D3" w14:textId="09293958" w:rsidR="000E2910" w:rsidRDefault="00725052" w:rsidP="005A5AB1">
      <w:pPr>
        <w:spacing w:before="0" w:line="240" w:lineRule="atLeast"/>
        <w:rPr>
          <w:rStyle w:val="Hypertextovodkaz"/>
        </w:rPr>
      </w:pPr>
      <w:r w:rsidRPr="00455A3C">
        <w:rPr>
          <w:color w:val="000000"/>
        </w:rPr>
        <w:t xml:space="preserve">e-mail: </w:t>
      </w:r>
      <w:hyperlink r:id="rId10" w:history="1">
        <w:r w:rsidRPr="00E23FD4">
          <w:rPr>
            <w:rStyle w:val="Hypertextovodkaz"/>
          </w:rPr>
          <w:t>eliska.krohova@crestcom.cz</w:t>
        </w:r>
      </w:hyperlink>
    </w:p>
    <w:p w14:paraId="0D899B98" w14:textId="77777777" w:rsidR="005A5AB1" w:rsidRPr="005A5AB1" w:rsidRDefault="005A5AB1" w:rsidP="005A5AB1">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4E346D8E" w14:textId="4A4AA54B" w:rsidR="00841B72" w:rsidRPr="00505FAA" w:rsidRDefault="00D404D5" w:rsidP="00505FAA">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303EF17F" w14:textId="77777777" w:rsidR="00424771" w:rsidRPr="00424771" w:rsidRDefault="00424771" w:rsidP="00424771">
      <w:pPr>
        <w:pStyle w:val="F2-zkladn"/>
        <w:rPr>
          <w:b/>
          <w:bCs/>
        </w:rPr>
      </w:pPr>
      <w:r w:rsidRPr="00424771">
        <w:rPr>
          <w:b/>
          <w:bCs/>
        </w:rPr>
        <w:t>Důležité upozornění</w:t>
      </w:r>
    </w:p>
    <w:p w14:paraId="79C36083" w14:textId="77777777" w:rsidR="00424771" w:rsidRDefault="00424771" w:rsidP="00424771">
      <w:pPr>
        <w:pStyle w:val="F2-zkladn"/>
      </w:pPr>
      <w:r>
        <w:t>Toto je propagační materiál. Tento dokument nesmí být bez předchozího souhlasu rozmnožován nebo rozšiřován.</w:t>
      </w:r>
    </w:p>
    <w:p w14:paraId="575A7773" w14:textId="77777777" w:rsidR="00424771" w:rsidRDefault="00424771" w:rsidP="00424771">
      <w:pPr>
        <w:pStyle w:val="F2-zkladn"/>
      </w:pPr>
      <w:r>
        <w:lastRenderedPageBreak/>
        <w:t>Fidelity International poskytuje informace pouze o svých produktech a neposkytuje investiční poradenství na základě individuálních potřeb, jinak než konkrétně řádně stanovené oprávněnou společností při formální komunikaci s klientem.</w:t>
      </w:r>
    </w:p>
    <w:p w14:paraId="44A56C57" w14:textId="77777777" w:rsidR="00424771" w:rsidRDefault="00424771" w:rsidP="00424771">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193A1F39" w14:textId="77777777" w:rsidR="00424771" w:rsidRDefault="00424771" w:rsidP="00424771">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5CC8A79" w14:textId="77777777" w:rsidR="00424771" w:rsidRDefault="00424771" w:rsidP="00424771">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E929B5" w14:textId="77777777" w:rsidR="00424771" w:rsidRDefault="00424771" w:rsidP="00424771">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5F1F837" w14:textId="77777777" w:rsidR="00424771" w:rsidRDefault="00424771" w:rsidP="00424771">
      <w:pPr>
        <w:pStyle w:val="F2-zkladn"/>
      </w:pPr>
      <w:r>
        <w:t>Minulá výkonnost není spolehlivým ukazatelem budoucích výsledků.</w:t>
      </w:r>
    </w:p>
    <w:p w14:paraId="5ECC52BC" w14:textId="77777777" w:rsidR="00424771" w:rsidRDefault="00424771" w:rsidP="00424771">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5F8EE0C5" w14:textId="77777777" w:rsidR="00424771" w:rsidRDefault="00424771" w:rsidP="00424771">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0751C3AE" w14:textId="77777777" w:rsidR="00424771" w:rsidRDefault="00424771" w:rsidP="00424771">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CCA314" w14:textId="77777777" w:rsidR="00424771" w:rsidRDefault="00424771" w:rsidP="00424771">
      <w:pPr>
        <w:pStyle w:val="F2-zkladn"/>
      </w:pPr>
      <w:r>
        <w:lastRenderedPageBreak/>
        <w:t>Investoři a potenciální investoři mohou získat informace o svých právech ve spojení se stížnostmi a soudními spory na tomto odkazu: https://www.fidelity.cz (v češtině).</w:t>
      </w:r>
    </w:p>
    <w:p w14:paraId="7A74B1DE" w14:textId="30E23217" w:rsidR="00D61AA5" w:rsidRDefault="00D61AA5" w:rsidP="00424771">
      <w:pPr>
        <w:pStyle w:val="F2-zkladn"/>
        <w:rPr>
          <w:color w:val="20242B"/>
          <w:shd w:val="clear" w:color="auto" w:fill="FFFFFF"/>
        </w:rPr>
      </w:pPr>
      <w:r>
        <w:rPr>
          <w:color w:val="20242B"/>
          <w:shd w:val="clear" w:color="auto" w:fill="FFFFFF"/>
        </w:rPr>
        <w:t>ED22 – 154</w:t>
      </w:r>
    </w:p>
    <w:p w14:paraId="1E379EA8" w14:textId="2BD08B17" w:rsidR="009F0C32" w:rsidRPr="00D61AA5" w:rsidRDefault="00D61AA5" w:rsidP="00424771">
      <w:pPr>
        <w:pStyle w:val="F2-zkladn"/>
        <w:rPr>
          <w:color w:val="20242B"/>
          <w:shd w:val="clear" w:color="auto" w:fill="FFFFFF"/>
        </w:rPr>
      </w:pPr>
      <w:r w:rsidRPr="00D61AA5">
        <w:rPr>
          <w:color w:val="20242B"/>
          <w:shd w:val="clear" w:color="auto" w:fill="FFFFFF"/>
        </w:rPr>
        <w:t>MKAT10877</w:t>
      </w:r>
    </w:p>
    <w:sectPr w:rsidR="009F0C32" w:rsidRPr="00D61AA5" w:rsidSect="002F1160">
      <w:headerReference w:type="default" r:id="rId11"/>
      <w:footerReference w:type="default" r:id="rId12"/>
      <w:headerReference w:type="first" r:id="rId13"/>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ABD7" w14:textId="77777777" w:rsidR="001A4AA9" w:rsidRDefault="001A4AA9">
      <w:r>
        <w:separator/>
      </w:r>
    </w:p>
  </w:endnote>
  <w:endnote w:type="continuationSeparator" w:id="0">
    <w:p w14:paraId="50FE4D8C" w14:textId="77777777" w:rsidR="001A4AA9" w:rsidRDefault="001A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9630" w14:textId="77777777" w:rsidR="001A4AA9" w:rsidRDefault="001A4AA9">
      <w:r>
        <w:separator/>
      </w:r>
    </w:p>
  </w:footnote>
  <w:footnote w:type="continuationSeparator" w:id="0">
    <w:p w14:paraId="40766A3A" w14:textId="77777777" w:rsidR="001A4AA9" w:rsidRDefault="001A4AA9">
      <w:r>
        <w:continuationSeparator/>
      </w:r>
    </w:p>
  </w:footnote>
  <w:footnote w:type="continuationNotice" w:id="1">
    <w:p w14:paraId="43443D9E" w14:textId="77777777" w:rsidR="001A4AA9" w:rsidRDefault="001A4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10368465">
    <w:abstractNumId w:val="14"/>
  </w:num>
  <w:num w:numId="2" w16cid:durableId="1169711240">
    <w:abstractNumId w:val="20"/>
  </w:num>
  <w:num w:numId="3" w16cid:durableId="1667202208">
    <w:abstractNumId w:val="22"/>
  </w:num>
  <w:num w:numId="4" w16cid:durableId="1699350920">
    <w:abstractNumId w:val="16"/>
  </w:num>
  <w:num w:numId="5" w16cid:durableId="709913431">
    <w:abstractNumId w:val="17"/>
  </w:num>
  <w:num w:numId="6" w16cid:durableId="1646855244">
    <w:abstractNumId w:val="15"/>
  </w:num>
  <w:num w:numId="7" w16cid:durableId="1332413148">
    <w:abstractNumId w:val="21"/>
  </w:num>
  <w:num w:numId="8" w16cid:durableId="1708408952">
    <w:abstractNumId w:val="18"/>
  </w:num>
  <w:num w:numId="9" w16cid:durableId="1227960257">
    <w:abstractNumId w:val="8"/>
  </w:num>
  <w:num w:numId="10" w16cid:durableId="2142845538">
    <w:abstractNumId w:val="3"/>
  </w:num>
  <w:num w:numId="11" w16cid:durableId="421529201">
    <w:abstractNumId w:val="2"/>
  </w:num>
  <w:num w:numId="12" w16cid:durableId="784541784">
    <w:abstractNumId w:val="1"/>
  </w:num>
  <w:num w:numId="13" w16cid:durableId="1448162051">
    <w:abstractNumId w:val="0"/>
  </w:num>
  <w:num w:numId="14" w16cid:durableId="1473522399">
    <w:abstractNumId w:val="11"/>
  </w:num>
  <w:num w:numId="15" w16cid:durableId="1080836755">
    <w:abstractNumId w:val="9"/>
  </w:num>
  <w:num w:numId="16" w16cid:durableId="235631611">
    <w:abstractNumId w:val="7"/>
  </w:num>
  <w:num w:numId="17" w16cid:durableId="1700280641">
    <w:abstractNumId w:val="6"/>
  </w:num>
  <w:num w:numId="18" w16cid:durableId="1448113293">
    <w:abstractNumId w:val="5"/>
  </w:num>
  <w:num w:numId="19" w16cid:durableId="1562133269">
    <w:abstractNumId w:val="4"/>
  </w:num>
  <w:num w:numId="20" w16cid:durableId="1799689667">
    <w:abstractNumId w:val="13"/>
  </w:num>
  <w:num w:numId="21" w16cid:durableId="4330372">
    <w:abstractNumId w:val="19"/>
  </w:num>
  <w:num w:numId="22" w16cid:durableId="1755467781">
    <w:abstractNumId w:val="12"/>
  </w:num>
  <w:num w:numId="23" w16cid:durableId="34020022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8406F"/>
    <w:rsid w:val="0018525E"/>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4B06"/>
    <w:rsid w:val="001F627F"/>
    <w:rsid w:val="002006D5"/>
    <w:rsid w:val="00201CD7"/>
    <w:rsid w:val="00202F64"/>
    <w:rsid w:val="00206A9C"/>
    <w:rsid w:val="00212B9E"/>
    <w:rsid w:val="00212DDA"/>
    <w:rsid w:val="00216EFA"/>
    <w:rsid w:val="0021765E"/>
    <w:rsid w:val="0021778F"/>
    <w:rsid w:val="00221EE4"/>
    <w:rsid w:val="00224347"/>
    <w:rsid w:val="00224EAE"/>
    <w:rsid w:val="00225670"/>
    <w:rsid w:val="00230204"/>
    <w:rsid w:val="0023028F"/>
    <w:rsid w:val="00230A3C"/>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44A9"/>
    <w:rsid w:val="002A4D2E"/>
    <w:rsid w:val="002B0AFD"/>
    <w:rsid w:val="002B0B15"/>
    <w:rsid w:val="002B14B5"/>
    <w:rsid w:val="002B2991"/>
    <w:rsid w:val="002B5926"/>
    <w:rsid w:val="002B6FCD"/>
    <w:rsid w:val="002B72A2"/>
    <w:rsid w:val="002B7380"/>
    <w:rsid w:val="002B7901"/>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1400"/>
    <w:rsid w:val="003322D8"/>
    <w:rsid w:val="003343C4"/>
    <w:rsid w:val="00340CA2"/>
    <w:rsid w:val="00341E98"/>
    <w:rsid w:val="00347B43"/>
    <w:rsid w:val="0035034F"/>
    <w:rsid w:val="003524F1"/>
    <w:rsid w:val="00352F7A"/>
    <w:rsid w:val="00356DCD"/>
    <w:rsid w:val="0036129D"/>
    <w:rsid w:val="00370EB8"/>
    <w:rsid w:val="00371045"/>
    <w:rsid w:val="00371B42"/>
    <w:rsid w:val="00372D58"/>
    <w:rsid w:val="003731A5"/>
    <w:rsid w:val="003736DA"/>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1594"/>
    <w:rsid w:val="003C19B7"/>
    <w:rsid w:val="003C4059"/>
    <w:rsid w:val="003C50F1"/>
    <w:rsid w:val="003C511D"/>
    <w:rsid w:val="003C6392"/>
    <w:rsid w:val="003C681A"/>
    <w:rsid w:val="003C7DAE"/>
    <w:rsid w:val="003D2083"/>
    <w:rsid w:val="003D2B0F"/>
    <w:rsid w:val="003D626C"/>
    <w:rsid w:val="003E03EB"/>
    <w:rsid w:val="003E1363"/>
    <w:rsid w:val="003F142F"/>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1C7"/>
    <w:rsid w:val="00502D84"/>
    <w:rsid w:val="00505FAA"/>
    <w:rsid w:val="00506CD0"/>
    <w:rsid w:val="00510980"/>
    <w:rsid w:val="00512AEC"/>
    <w:rsid w:val="00512D81"/>
    <w:rsid w:val="0051504C"/>
    <w:rsid w:val="005172B1"/>
    <w:rsid w:val="005206E2"/>
    <w:rsid w:val="00521ADE"/>
    <w:rsid w:val="0052280A"/>
    <w:rsid w:val="005248D0"/>
    <w:rsid w:val="00525B77"/>
    <w:rsid w:val="0053070C"/>
    <w:rsid w:val="005314DF"/>
    <w:rsid w:val="005331B5"/>
    <w:rsid w:val="00534D3B"/>
    <w:rsid w:val="005351B3"/>
    <w:rsid w:val="005437B4"/>
    <w:rsid w:val="0054471F"/>
    <w:rsid w:val="005459F5"/>
    <w:rsid w:val="00545B68"/>
    <w:rsid w:val="00546CB9"/>
    <w:rsid w:val="00546DF7"/>
    <w:rsid w:val="0055121B"/>
    <w:rsid w:val="00552B6E"/>
    <w:rsid w:val="00556D4F"/>
    <w:rsid w:val="00557A71"/>
    <w:rsid w:val="00560AED"/>
    <w:rsid w:val="005623DD"/>
    <w:rsid w:val="00563B23"/>
    <w:rsid w:val="0056452E"/>
    <w:rsid w:val="005656FB"/>
    <w:rsid w:val="00567010"/>
    <w:rsid w:val="00570CA6"/>
    <w:rsid w:val="00570F18"/>
    <w:rsid w:val="0057123D"/>
    <w:rsid w:val="005720AF"/>
    <w:rsid w:val="0057387E"/>
    <w:rsid w:val="005847DC"/>
    <w:rsid w:val="005856EF"/>
    <w:rsid w:val="00585CC6"/>
    <w:rsid w:val="00591893"/>
    <w:rsid w:val="00592351"/>
    <w:rsid w:val="00593457"/>
    <w:rsid w:val="00594C42"/>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2746"/>
    <w:rsid w:val="00683717"/>
    <w:rsid w:val="00684132"/>
    <w:rsid w:val="00685B75"/>
    <w:rsid w:val="006867CC"/>
    <w:rsid w:val="00690C50"/>
    <w:rsid w:val="00692EE8"/>
    <w:rsid w:val="00696362"/>
    <w:rsid w:val="006A04AE"/>
    <w:rsid w:val="006A0E52"/>
    <w:rsid w:val="006A25B4"/>
    <w:rsid w:val="006A4A62"/>
    <w:rsid w:val="006A7552"/>
    <w:rsid w:val="006B01B9"/>
    <w:rsid w:val="006B0439"/>
    <w:rsid w:val="006B0D10"/>
    <w:rsid w:val="006B0EC2"/>
    <w:rsid w:val="006B13D4"/>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741B"/>
    <w:rsid w:val="00771D19"/>
    <w:rsid w:val="0077277F"/>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50C28"/>
    <w:rsid w:val="00951993"/>
    <w:rsid w:val="00953E57"/>
    <w:rsid w:val="00954CC0"/>
    <w:rsid w:val="00955C25"/>
    <w:rsid w:val="00956BB5"/>
    <w:rsid w:val="00957676"/>
    <w:rsid w:val="009621B2"/>
    <w:rsid w:val="00963A1A"/>
    <w:rsid w:val="00964590"/>
    <w:rsid w:val="0096654A"/>
    <w:rsid w:val="00971196"/>
    <w:rsid w:val="00973755"/>
    <w:rsid w:val="00980736"/>
    <w:rsid w:val="00981704"/>
    <w:rsid w:val="0098182C"/>
    <w:rsid w:val="00983F39"/>
    <w:rsid w:val="00984390"/>
    <w:rsid w:val="00985839"/>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915"/>
    <w:rsid w:val="009C2E55"/>
    <w:rsid w:val="009C3DB4"/>
    <w:rsid w:val="009C3F13"/>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8ED"/>
    <w:rsid w:val="00B43502"/>
    <w:rsid w:val="00B4391E"/>
    <w:rsid w:val="00B46384"/>
    <w:rsid w:val="00B514DC"/>
    <w:rsid w:val="00B522AA"/>
    <w:rsid w:val="00B60AED"/>
    <w:rsid w:val="00B60B0D"/>
    <w:rsid w:val="00B627D5"/>
    <w:rsid w:val="00B62AB3"/>
    <w:rsid w:val="00B63B5B"/>
    <w:rsid w:val="00B64E9D"/>
    <w:rsid w:val="00B678D4"/>
    <w:rsid w:val="00B7404A"/>
    <w:rsid w:val="00B75AC6"/>
    <w:rsid w:val="00B81F91"/>
    <w:rsid w:val="00B839BA"/>
    <w:rsid w:val="00B86C35"/>
    <w:rsid w:val="00B86DD8"/>
    <w:rsid w:val="00B87C14"/>
    <w:rsid w:val="00B92703"/>
    <w:rsid w:val="00B93072"/>
    <w:rsid w:val="00B94EFB"/>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3AC2"/>
    <w:rsid w:val="00C16BE6"/>
    <w:rsid w:val="00C20BEA"/>
    <w:rsid w:val="00C2433C"/>
    <w:rsid w:val="00C24C84"/>
    <w:rsid w:val="00C24D43"/>
    <w:rsid w:val="00C26014"/>
    <w:rsid w:val="00C264F8"/>
    <w:rsid w:val="00C27D23"/>
    <w:rsid w:val="00C31313"/>
    <w:rsid w:val="00C32874"/>
    <w:rsid w:val="00C37286"/>
    <w:rsid w:val="00C4166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10B90"/>
    <w:rsid w:val="00D113F1"/>
    <w:rsid w:val="00D118DA"/>
    <w:rsid w:val="00D12387"/>
    <w:rsid w:val="00D13663"/>
    <w:rsid w:val="00D13E3F"/>
    <w:rsid w:val="00D149A1"/>
    <w:rsid w:val="00D17B15"/>
    <w:rsid w:val="00D20884"/>
    <w:rsid w:val="00D20D3E"/>
    <w:rsid w:val="00D22687"/>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6B7D"/>
    <w:rsid w:val="00DB02C0"/>
    <w:rsid w:val="00DB0357"/>
    <w:rsid w:val="00DB2227"/>
    <w:rsid w:val="00DB23F6"/>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C0D"/>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2F45"/>
    <w:rsid w:val="00F64615"/>
    <w:rsid w:val="00F65669"/>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ska.krohova@crestcom.c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C9DB-2F8C-46AB-9885-E5F25284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6618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7724</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Eliška Krohová</cp:lastModifiedBy>
  <cp:revision>2</cp:revision>
  <cp:lastPrinted>2015-11-30T16:29:00Z</cp:lastPrinted>
  <dcterms:created xsi:type="dcterms:W3CDTF">2022-09-14T08:54:00Z</dcterms:created>
  <dcterms:modified xsi:type="dcterms:W3CDTF">2022-09-14T08:54:00Z</dcterms:modified>
</cp:coreProperties>
</file>